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eastAsia="仿宋_GB2312"/>
          <w:sz w:val="32"/>
        </w:rPr>
      </w:pPr>
      <w:r>
        <w:rPr>
          <w:rFonts w:hint="eastAsia" w:eastAsia="仿宋_GB2312"/>
          <w:sz w:val="32"/>
        </w:rPr>
        <w:drawing>
          <wp:anchor distT="0" distB="0" distL="114300" distR="114300" simplePos="0" relativeHeight="251661312" behindDoc="1" locked="0" layoutInCell="1" allowOverlap="1">
            <wp:simplePos x="0" y="0"/>
            <wp:positionH relativeFrom="column">
              <wp:posOffset>-258445</wp:posOffset>
            </wp:positionH>
            <wp:positionV relativeFrom="paragraph">
              <wp:posOffset>-39370</wp:posOffset>
            </wp:positionV>
            <wp:extent cx="5819775" cy="817880"/>
            <wp:effectExtent l="19050" t="0" r="9525" b="0"/>
            <wp:wrapTight wrapText="bothSides">
              <wp:wrapPolygon>
                <wp:start x="-71" y="0"/>
                <wp:lineTo x="-71" y="21130"/>
                <wp:lineTo x="21635" y="21130"/>
                <wp:lineTo x="21635" y="0"/>
                <wp:lineTo x="-71" y="0"/>
              </wp:wrapPolygon>
            </wp:wrapTight>
            <wp:docPr id="3" name="Picture 2" descr="文件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文件头"/>
                    <pic:cNvPicPr>
                      <a:picLocks noChangeAspect="1" noChangeArrowheads="1"/>
                    </pic:cNvPicPr>
                  </pic:nvPicPr>
                  <pic:blipFill>
                    <a:blip r:embed="rId6"/>
                    <a:srcRect l="3226" t="16287" r="2196" b="13789"/>
                    <a:stretch>
                      <a:fillRect/>
                    </a:stretch>
                  </pic:blipFill>
                  <pic:spPr>
                    <a:xfrm>
                      <a:off x="0" y="0"/>
                      <a:ext cx="5819775" cy="817880"/>
                    </a:xfrm>
                    <a:prstGeom prst="rect">
                      <a:avLst/>
                    </a:prstGeom>
                    <a:noFill/>
                    <a:ln w="9525" cmpd="sng">
                      <a:noFill/>
                      <a:miter lim="800000"/>
                      <a:headEnd/>
                      <a:tailEnd/>
                    </a:ln>
                  </pic:spPr>
                </pic:pic>
              </a:graphicData>
            </a:graphic>
          </wp:anchor>
        </w:drawing>
      </w:r>
      <w:r>
        <w:rPr>
          <w:rFonts w:hint="eastAsia" w:eastAsia="仿宋_GB2312"/>
          <w:sz w:val="32"/>
        </w:rPr>
        <w:t xml:space="preserve">                                 温名师办〔2018〕74 号</w:t>
      </w:r>
    </w:p>
    <w:p>
      <w:pPr>
        <w:spacing w:line="500" w:lineRule="exact"/>
        <w:jc w:val="center"/>
        <w:rPr>
          <w:rFonts w:eastAsia="仿宋_GB2312"/>
          <w:b/>
          <w:bCs/>
          <w:sz w:val="32"/>
        </w:rPr>
      </w:pPr>
      <w:bookmarkStart w:id="3" w:name="_GoBack"/>
      <w:bookmarkEnd w:id="3"/>
    </w:p>
    <w:p>
      <w:pPr>
        <w:widowControl/>
        <w:autoSpaceDN w:val="0"/>
        <w:spacing w:line="900" w:lineRule="exact"/>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关于</w:t>
      </w:r>
      <w:r>
        <w:rPr>
          <w:rFonts w:ascii="方正小标宋简体" w:eastAsia="方正小标宋简体"/>
          <w:color w:val="000000" w:themeColor="text1"/>
          <w:sz w:val="44"/>
          <w:szCs w:val="44"/>
        </w:rPr>
        <w:t>开展温州市第</w:t>
      </w:r>
      <w:r>
        <w:rPr>
          <w:rFonts w:hint="eastAsia" w:ascii="方正小标宋简体" w:eastAsia="方正小标宋简体"/>
          <w:color w:val="000000" w:themeColor="text1"/>
          <w:sz w:val="44"/>
          <w:szCs w:val="44"/>
        </w:rPr>
        <w:t>四</w:t>
      </w:r>
      <w:r>
        <w:rPr>
          <w:rFonts w:ascii="方正小标宋简体" w:eastAsia="方正小标宋简体"/>
          <w:color w:val="000000" w:themeColor="text1"/>
          <w:sz w:val="44"/>
          <w:szCs w:val="44"/>
        </w:rPr>
        <w:t>批名师工作</w:t>
      </w:r>
      <w:r>
        <w:rPr>
          <w:rFonts w:hint="eastAsia" w:ascii="方正小标宋简体" w:eastAsia="方正小标宋简体"/>
          <w:color w:val="000000" w:themeColor="text1"/>
          <w:sz w:val="44"/>
          <w:szCs w:val="44"/>
        </w:rPr>
        <w:t>站和第六批名师工作室</w:t>
      </w:r>
      <w:r>
        <w:rPr>
          <w:rFonts w:ascii="方正小标宋简体" w:eastAsia="方正小标宋简体"/>
          <w:color w:val="000000" w:themeColor="text1"/>
          <w:sz w:val="44"/>
          <w:szCs w:val="44"/>
        </w:rPr>
        <w:t>考核展示活动的通知</w:t>
      </w:r>
    </w:p>
    <w:p>
      <w:pPr>
        <w:adjustRightInd w:val="0"/>
        <w:snapToGrid w:val="0"/>
        <w:spacing w:line="560" w:lineRule="exact"/>
        <w:jc w:val="center"/>
        <w:rPr>
          <w:rFonts w:ascii="黑体" w:hAnsi="宋体" w:eastAsia="黑体"/>
          <w:b/>
          <w:color w:val="000000" w:themeColor="text1"/>
          <w:sz w:val="44"/>
          <w:szCs w:val="44"/>
        </w:rPr>
      </w:pPr>
    </w:p>
    <w:p>
      <w:pPr>
        <w:spacing w:line="560" w:lineRule="exact"/>
        <w:rPr>
          <w:rFonts w:ascii="仿宋_GB2312" w:eastAsia="仿宋_GB2312"/>
          <w:sz w:val="32"/>
          <w:szCs w:val="32"/>
        </w:rPr>
      </w:pPr>
      <w:r>
        <w:rPr>
          <w:rFonts w:hint="eastAsia" w:ascii="仿宋_GB2312" w:eastAsia="仿宋_GB2312"/>
          <w:sz w:val="32"/>
          <w:szCs w:val="32"/>
        </w:rPr>
        <w:t>各县（市、区）教育局，浙南产业集聚区文教体局，市局直属各学校、单位：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温州市教育局《关于印发名师工作室暂行管理办法的通知》（温教政〔2010〕98号）和温州市教育局办公室《关于印发温州市名师工作室考核方案的通知》（温教办政〔2011〕55号），经研究，决定开展温州市第四批名师工作站和第六批名师工作室考核展示活动。现将有关事项通知如下：</w:t>
      </w:r>
    </w:p>
    <w:p>
      <w:pPr>
        <w:spacing w:line="560" w:lineRule="exact"/>
        <w:ind w:firstLine="640" w:firstLineChars="200"/>
        <w:rPr>
          <w:rFonts w:ascii="方正小标宋简体" w:eastAsia="方正小标宋简体"/>
          <w:sz w:val="32"/>
          <w:szCs w:val="32"/>
        </w:rPr>
      </w:pPr>
      <w:r>
        <w:rPr>
          <w:rFonts w:hint="eastAsia" w:ascii="方正小标宋简体" w:eastAsia="方正小标宋简体"/>
          <w:sz w:val="32"/>
          <w:szCs w:val="32"/>
        </w:rPr>
        <w:t>一、考核对象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温州市第四批名师工作站23个（43个工作室）和第六批名师工作室27个，合计70个工作室。</w:t>
      </w:r>
    </w:p>
    <w:p>
      <w:pPr>
        <w:spacing w:line="560" w:lineRule="exact"/>
        <w:ind w:firstLine="640" w:firstLineChars="200"/>
        <w:rPr>
          <w:rFonts w:ascii="方正小标宋简体" w:eastAsia="方正小标宋简体"/>
          <w:sz w:val="32"/>
          <w:szCs w:val="32"/>
        </w:rPr>
      </w:pPr>
      <w:r>
        <w:rPr>
          <w:rFonts w:hint="eastAsia" w:ascii="方正小标宋简体" w:eastAsia="方正小标宋简体"/>
          <w:sz w:val="32"/>
          <w:szCs w:val="32"/>
        </w:rPr>
        <w:t>二、活动安排</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（一）前期准备</w:t>
      </w:r>
    </w:p>
    <w:p>
      <w:pPr>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1.撰写总结。各</w:t>
      </w:r>
      <w:r>
        <w:rPr>
          <w:rFonts w:hint="eastAsia" w:ascii="仿宋_GB2312" w:eastAsia="仿宋_GB2312"/>
          <w:sz w:val="32"/>
          <w:szCs w:val="32"/>
        </w:rPr>
        <w:t>名师工作站（室）根据《关于印发温州市名师工作室考核方案的通知》（见温州名师网“市局文件”）撰写培养周期总结，要求点面结合，突出本工作室的特色</w:t>
      </w:r>
      <w:r>
        <w:rPr>
          <w:rFonts w:hint="eastAsia" w:ascii="仿宋_GB2312" w:eastAsia="仿宋_GB2312"/>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推荐优秀学员。推荐名额为本工作室学员人数的20%（四舍五入），被推荐学员要求撰写</w:t>
      </w:r>
      <w:r>
        <w:rPr>
          <w:rFonts w:hint="eastAsia" w:ascii="仿宋_GB2312" w:eastAsia="仿宋_GB2312"/>
          <w:sz w:val="32"/>
          <w:szCs w:val="32"/>
          <w:lang w:val="en-US" w:eastAsia="zh-CN"/>
        </w:rPr>
        <w:t>1000字以上</w:t>
      </w:r>
      <w:r>
        <w:rPr>
          <w:rFonts w:hint="eastAsia" w:ascii="仿宋_GB2312" w:eastAsia="仿宋_GB2312"/>
          <w:sz w:val="32"/>
          <w:szCs w:val="32"/>
        </w:rPr>
        <w:t xml:space="preserve">总结。 </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填写《温州市名师工作站（室）结业登记表》（附件1）。设站学校需填写《温州市名师工作站设站学校总结》（附件2）。</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以上材料要求在</w:t>
      </w:r>
      <w:r>
        <w:rPr>
          <w:rFonts w:hint="eastAsia" w:ascii="仿宋_GB2312" w:eastAsia="仿宋_GB2312"/>
          <w:sz w:val="32"/>
          <w:szCs w:val="32"/>
        </w:rPr>
        <w:t>12月10日之前登录温州名师网名师工作室管理平台，填写并提交。</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成果整理。各名师工作室将培养期内所取得的成果装订成册，包括设站学校、工作室结业登记表、培训特色、成效等。经县（市、区）教育局人事科和市局直属学校审核盖章后，于活动当日带到考核展示地点。</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学分申请（见附件5《学分申请操作说明》）。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（二）考核展示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1．汇报演讲。每个工作室将总结制作成PPT演示文稿，派代表在考核展示活动中作15分钟以内总结发言。站长发言需包括促进设站学校教师专业发展和教育质量提高的内容，发言时间增加5分钟。考核展示活动具体安排见附表（附件3）。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2．成果展示。由考核展示承办单位在汇报演讲厅旁安排专门场地，展示相关名师工作室建设成果。</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3．特色专场。由各名师工作站自愿申请，考核展示方式自定，鼓励创新。市教育局将派评委前往设站学校</w:t>
      </w:r>
      <w:r>
        <w:rPr>
          <w:rFonts w:hint="eastAsia" w:ascii="仿宋_GB2312" w:eastAsia="仿宋_GB2312"/>
          <w:sz w:val="32"/>
          <w:szCs w:val="32"/>
          <w:lang w:eastAsia="zh-CN"/>
        </w:rPr>
        <w:t>，</w:t>
      </w:r>
      <w:r>
        <w:rPr>
          <w:rFonts w:hint="eastAsia" w:ascii="仿宋_GB2312" w:eastAsia="仿宋_GB2312"/>
          <w:sz w:val="32"/>
          <w:szCs w:val="32"/>
          <w:lang w:val="en-US" w:eastAsia="zh-CN"/>
        </w:rPr>
        <w:t>听取</w:t>
      </w:r>
      <w:r>
        <w:rPr>
          <w:rFonts w:hint="eastAsia" w:ascii="仿宋_GB2312" w:eastAsia="仿宋_GB2312"/>
          <w:sz w:val="32"/>
          <w:szCs w:val="32"/>
        </w:rPr>
        <w:t>汇报演讲</w:t>
      </w:r>
      <w:r>
        <w:rPr>
          <w:rFonts w:hint="eastAsia" w:ascii="仿宋_GB2312" w:eastAsia="仿宋_GB2312"/>
          <w:sz w:val="32"/>
          <w:szCs w:val="32"/>
          <w:lang w:eastAsia="zh-CN"/>
        </w:rPr>
        <w:t>、</w:t>
      </w:r>
      <w:r>
        <w:rPr>
          <w:rFonts w:hint="eastAsia" w:ascii="仿宋_GB2312" w:eastAsia="仿宋_GB2312"/>
          <w:sz w:val="32"/>
          <w:szCs w:val="32"/>
          <w:lang w:val="en-US" w:eastAsia="zh-CN"/>
        </w:rPr>
        <w:t>参观</w:t>
      </w:r>
      <w:r>
        <w:rPr>
          <w:rFonts w:hint="eastAsia" w:ascii="仿宋_GB2312" w:eastAsia="仿宋_GB2312"/>
          <w:sz w:val="32"/>
          <w:szCs w:val="32"/>
        </w:rPr>
        <w:t>成果展示。有意向者填写《名师工作站</w:t>
      </w:r>
      <w:r>
        <w:rPr>
          <w:rFonts w:hint="eastAsia" w:ascii="仿宋_GB2312" w:eastAsia="仿宋_GB2312"/>
          <w:sz w:val="32"/>
          <w:szCs w:val="32"/>
          <w:lang w:val="en-US" w:eastAsia="zh-CN"/>
        </w:rPr>
        <w:t>考</w:t>
      </w:r>
      <w:r>
        <w:rPr>
          <w:rFonts w:hint="eastAsia" w:ascii="仿宋_GB2312" w:eastAsia="仿宋_GB2312"/>
          <w:sz w:val="32"/>
          <w:szCs w:val="32"/>
        </w:rPr>
        <w:t>核展示特色专场安排表》（附件4），于12月10日前发至名师办邮箱并联系名师办确定具体事宜。名师办邮箱：wzsmsgz@163.com，联系人，卢老师，电话86572855。</w:t>
      </w:r>
    </w:p>
    <w:p>
      <w:pPr>
        <w:spacing w:line="560" w:lineRule="exact"/>
        <w:ind w:firstLine="640" w:firstLineChars="200"/>
        <w:rPr>
          <w:rFonts w:ascii="仿宋_GB2312" w:eastAsia="仿宋_GB2312"/>
          <w:sz w:val="32"/>
          <w:szCs w:val="32"/>
        </w:rPr>
      </w:pPr>
      <w:r>
        <w:rPr>
          <w:rFonts w:hint="eastAsia" w:ascii="方正小标宋简体" w:eastAsia="方正小标宋简体"/>
          <w:sz w:val="32"/>
          <w:szCs w:val="32"/>
        </w:rPr>
        <w:t>三、组织工作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（一）温州市名师建设工作领导小组负责考核展示活动，组织专家赴考核展示承办单位和特色专场现场进行考核评估。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（二）各县（市、区）教育局由政工（人事）科长负责，市局直属各学校由分管人事的办公室主任负责，落实名师工作室主持人考核展示准备工作，安排参会人员准时参加考核展示活动。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（三）第四批名师工作站和第六批名师工作室主持人通知本工作室学员参加考核展示活动（其中继续担任第六批名师工作站和第八批名师工作室主持人的可通知新招收学员一并参加）。</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（四）所有参会人员必须全程参与相关考核展示活动。</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附件： 1.温州市名师工作站（室）结业登记表</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2.温州市名师工作站设站学校总结</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3.名师工作室考核展示活动安排表</w:t>
      </w:r>
    </w:p>
    <w:p>
      <w:pPr>
        <w:spacing w:line="560" w:lineRule="exact"/>
        <w:rPr>
          <w:rFonts w:ascii="仿宋_GB2312" w:eastAsia="仿宋_GB2312"/>
          <w:sz w:val="32"/>
          <w:szCs w:val="32"/>
        </w:rPr>
      </w:pPr>
      <w:r>
        <w:rPr>
          <w:rFonts w:hint="eastAsia" w:ascii="仿宋_GB2312" w:eastAsia="仿宋_GB2312"/>
          <w:sz w:val="32"/>
          <w:szCs w:val="32"/>
        </w:rPr>
        <w:t xml:space="preserve">            4.</w:t>
      </w:r>
      <w:bookmarkStart w:id="0" w:name="_Hlt384710884"/>
      <w:bookmarkEnd w:id="0"/>
      <w:bookmarkStart w:id="1" w:name="_Hlt384710892"/>
      <w:bookmarkEnd w:id="1"/>
      <w:bookmarkStart w:id="2" w:name="_Hlt384710885"/>
      <w:bookmarkEnd w:id="2"/>
      <w:r>
        <w:rPr>
          <w:rFonts w:hint="eastAsia" w:ascii="仿宋_GB2312" w:eastAsia="仿宋_GB2312"/>
          <w:sz w:val="32"/>
          <w:szCs w:val="32"/>
        </w:rPr>
        <w:t>名师工作站考核展示特色专场安排表</w:t>
      </w:r>
    </w:p>
    <w:p>
      <w:pPr>
        <w:spacing w:line="560" w:lineRule="exact"/>
        <w:rPr>
          <w:rFonts w:ascii="仿宋_GB2312" w:eastAsia="仿宋_GB2312"/>
          <w:sz w:val="32"/>
          <w:szCs w:val="32"/>
        </w:rPr>
      </w:pPr>
      <w:r>
        <w:rPr>
          <w:rFonts w:hint="eastAsia" w:ascii="仿宋_GB2312" w:eastAsia="仿宋_GB2312"/>
          <w:sz w:val="32"/>
          <w:szCs w:val="32"/>
        </w:rPr>
        <w:t xml:space="preserve">            5.学分申请操作说明</w:t>
      </w:r>
    </w:p>
    <w:p>
      <w:pPr>
        <w:spacing w:line="560" w:lineRule="exact"/>
        <w:ind w:left="2400" w:hanging="2400" w:hangingChars="750"/>
        <w:rPr>
          <w:rFonts w:ascii="仿宋_GB2312" w:eastAsia="仿宋_GB2312"/>
          <w:sz w:val="32"/>
          <w:szCs w:val="32"/>
        </w:rPr>
      </w:pPr>
      <w:r>
        <w:rPr>
          <w:rFonts w:hint="eastAsia" w:ascii="仿宋_GB2312" w:eastAsia="仿宋_GB2312"/>
          <w:sz w:val="32"/>
          <w:szCs w:val="32"/>
        </w:rPr>
        <w:t xml:space="preserve">            6、温州市第四批名师工作站、第六批名师工作室</w:t>
      </w:r>
      <w:r>
        <w:rPr>
          <w:rFonts w:hint="eastAsia" w:ascii="仿宋_GB2312" w:eastAsia="仿宋_GB2312"/>
          <w:sz w:val="32"/>
          <w:szCs w:val="32"/>
          <w:lang w:eastAsia="zh-CN"/>
        </w:rPr>
        <w:t>人员</w:t>
      </w:r>
      <w:r>
        <w:rPr>
          <w:rFonts w:hint="eastAsia" w:ascii="仿宋_GB2312" w:eastAsia="仿宋_GB2312"/>
          <w:sz w:val="32"/>
          <w:szCs w:val="32"/>
        </w:rPr>
        <w:t>名单</w:t>
      </w:r>
    </w:p>
    <w:p>
      <w:pPr>
        <w:spacing w:line="560" w:lineRule="exact"/>
        <w:rPr>
          <w:rFonts w:ascii="仿宋_GB2312" w:eastAsia="仿宋_GB2312"/>
          <w:sz w:val="32"/>
          <w:szCs w:val="32"/>
        </w:rPr>
      </w:pPr>
    </w:p>
    <w:p>
      <w:pPr>
        <w:spacing w:line="560" w:lineRule="exact"/>
        <w:ind w:right="628" w:rightChars="299"/>
        <w:jc w:val="right"/>
        <w:rPr>
          <w:rFonts w:ascii="仿宋_GB2312" w:eastAsia="仿宋_GB2312"/>
          <w:color w:val="000000" w:themeColor="text1"/>
          <w:kern w:val="0"/>
          <w:sz w:val="32"/>
          <w:szCs w:val="32"/>
        </w:rPr>
      </w:pPr>
      <w:r>
        <w:rPr>
          <w:rFonts w:hint="eastAsia" w:ascii="仿宋_GB2312" w:eastAsia="仿宋_GB2312"/>
          <w:color w:val="000000" w:themeColor="text1"/>
          <w:kern w:val="0"/>
          <w:sz w:val="32"/>
          <w:szCs w:val="32"/>
        </w:rPr>
        <w:t>温州市名师建设工作领导小组办公室</w:t>
      </w:r>
    </w:p>
    <w:p>
      <w:pPr>
        <w:spacing w:line="560" w:lineRule="exact"/>
        <w:ind w:right="628" w:rightChars="299"/>
        <w:jc w:val="center"/>
        <w:rPr>
          <w:rFonts w:ascii="仿宋_GB2312" w:eastAsia="仿宋_GB2312"/>
          <w:color w:val="000000" w:themeColor="text1"/>
          <w:kern w:val="0"/>
          <w:sz w:val="32"/>
          <w:szCs w:val="32"/>
        </w:rPr>
      </w:pPr>
      <w:r>
        <w:rPr>
          <w:rFonts w:hint="eastAsia" w:ascii="仿宋_GB2312" w:eastAsia="仿宋_GB2312"/>
          <w:color w:val="000000" w:themeColor="text1"/>
          <w:kern w:val="0"/>
          <w:sz w:val="32"/>
          <w:szCs w:val="32"/>
        </w:rPr>
        <w:t xml:space="preserve">                   2018年11月29日</w:t>
      </w:r>
    </w:p>
    <w:p>
      <w:pPr>
        <w:rPr>
          <w:rFonts w:ascii="仿宋_GB2312" w:eastAsia="仿宋_GB2312"/>
          <w:sz w:val="32"/>
          <w:szCs w:val="32"/>
        </w:rPr>
      </w:pPr>
    </w:p>
    <w:sectPr>
      <w:footerReference r:id="rId3" w:type="default"/>
      <w:footerReference r:id="rId4" w:type="even"/>
      <w:pgSz w:w="11906" w:h="16838"/>
      <w:pgMar w:top="2098" w:right="1474" w:bottom="1474" w:left="1588" w:header="2098" w:footer="1474" w:gutter="0"/>
      <w:pgNumType w:start="1"/>
      <w:cols w:space="720" w:num="1"/>
      <w:titlePg/>
      <w:docGrid w:type="lines" w:linePitch="580"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p>
  <w:p>
    <w:pPr>
      <w:pStyle w:val="2"/>
      <w:ind w:right="360" w:firstLine="7560" w:firstLineChars="2700"/>
      <w:rPr>
        <w:sz w:val="28"/>
      </w:rPr>
    </w:pPr>
    <w:r>
      <w:rPr>
        <w:sz w:val="28"/>
      </w:rPr>
      <w:t>—</w:t>
    </w:r>
    <w:r>
      <w:rPr>
        <w:sz w:val="28"/>
      </w:rPr>
      <w:fldChar w:fldCharType="begin"/>
    </w:r>
    <w:r>
      <w:rPr>
        <w:rStyle w:val="5"/>
        <w:sz w:val="28"/>
      </w:rPr>
      <w:instrText xml:space="preserve"> PAGE </w:instrText>
    </w:r>
    <w:r>
      <w:rPr>
        <w:sz w:val="28"/>
      </w:rPr>
      <w:fldChar w:fldCharType="separate"/>
    </w:r>
    <w:r>
      <w:rPr>
        <w:rStyle w:val="5"/>
        <w:sz w:val="28"/>
      </w:rPr>
      <w:t>2</w:t>
    </w:r>
    <w:r>
      <w:rPr>
        <w:sz w:val="28"/>
      </w:rPr>
      <w:fldChar w:fldCharType="end"/>
    </w:r>
    <w:r>
      <w:rPr>
        <w:sz w:val="28"/>
      </w:rPr>
      <w:softHyphen/>
    </w:r>
    <w:r>
      <w:rPr>
        <w:sz w:val="28"/>
      </w:rPr>
      <w:softHyphen/>
    </w:r>
    <w:r>
      <w:rPr>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rPr>
        <w:sz w:val="28"/>
      </w:rPr>
    </w:pPr>
    <w:r>
      <w:rPr>
        <w:rStyle w:val="5"/>
        <w:sz w:val="28"/>
      </w:rPr>
      <w:softHyphen/>
    </w:r>
    <w:r>
      <w:rPr>
        <w:rStyle w:val="5"/>
        <w:sz w:val="28"/>
      </w:rPr>
      <w:t>—</w:t>
    </w:r>
    <w:r>
      <w:rPr>
        <w:sz w:val="28"/>
      </w:rPr>
      <w:fldChar w:fldCharType="begin"/>
    </w:r>
    <w:r>
      <w:rPr>
        <w:rStyle w:val="5"/>
        <w:sz w:val="28"/>
      </w:rPr>
      <w:instrText xml:space="preserve"> PAGE </w:instrText>
    </w:r>
    <w:r>
      <w:rPr>
        <w:sz w:val="28"/>
      </w:rPr>
      <w:fldChar w:fldCharType="separate"/>
    </w:r>
    <w:r>
      <w:rPr>
        <w:rStyle w:val="5"/>
        <w:sz w:val="28"/>
      </w:rPr>
      <w:t>4</w:t>
    </w:r>
    <w:r>
      <w:rPr>
        <w:sz w:val="28"/>
      </w:rPr>
      <w:fldChar w:fldCharType="end"/>
    </w:r>
    <w:r>
      <w:rPr>
        <w:rStyle w:val="5"/>
        <w:rFonts w:hint="eastAsia"/>
        <w:sz w:val="28"/>
      </w:rPr>
      <w:softHyphen/>
    </w:r>
    <w:r>
      <w:rPr>
        <w:rStyle w:val="5"/>
        <w:sz w:val="28"/>
      </w:rPr>
      <w:softHyphen/>
    </w:r>
    <w:r>
      <w:rPr>
        <w:rStyle w:val="5"/>
        <w:sz w:val="28"/>
      </w:rPr>
      <w:softHyphen/>
    </w:r>
    <w:r>
      <w:rPr>
        <w:rStyle w:val="5"/>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18D1"/>
    <w:rsid w:val="00087389"/>
    <w:rsid w:val="00114D6A"/>
    <w:rsid w:val="001319B3"/>
    <w:rsid w:val="0023667E"/>
    <w:rsid w:val="002F04BC"/>
    <w:rsid w:val="0030065A"/>
    <w:rsid w:val="00351230"/>
    <w:rsid w:val="00417D36"/>
    <w:rsid w:val="00646623"/>
    <w:rsid w:val="006D7F9B"/>
    <w:rsid w:val="007416CD"/>
    <w:rsid w:val="007648BE"/>
    <w:rsid w:val="00770E34"/>
    <w:rsid w:val="007D36A0"/>
    <w:rsid w:val="007D45FC"/>
    <w:rsid w:val="007D6D9A"/>
    <w:rsid w:val="00897E73"/>
    <w:rsid w:val="00911A6E"/>
    <w:rsid w:val="009818D1"/>
    <w:rsid w:val="009834F6"/>
    <w:rsid w:val="00A930CB"/>
    <w:rsid w:val="00B507B5"/>
    <w:rsid w:val="00C165E7"/>
    <w:rsid w:val="00C950C4"/>
    <w:rsid w:val="00DC68E6"/>
    <w:rsid w:val="00ED1D47"/>
    <w:rsid w:val="00EF2027"/>
    <w:rsid w:val="00F854FA"/>
    <w:rsid w:val="00FD79DA"/>
    <w:rsid w:val="0C9E2014"/>
    <w:rsid w:val="164E7D61"/>
    <w:rsid w:val="17321D41"/>
    <w:rsid w:val="174C2477"/>
    <w:rsid w:val="2BFC0F5A"/>
    <w:rsid w:val="437D6383"/>
    <w:rsid w:val="444B2468"/>
    <w:rsid w:val="46342207"/>
    <w:rsid w:val="57A96509"/>
    <w:rsid w:val="59AA3FAA"/>
    <w:rsid w:val="63B62DCB"/>
    <w:rsid w:val="64876F87"/>
    <w:rsid w:val="66F40905"/>
    <w:rsid w:val="6B0A0126"/>
    <w:rsid w:val="7F5830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styleId="6">
    <w:name w:val="Hyperlink"/>
    <w:basedOn w:val="4"/>
    <w:qFormat/>
    <w:uiPriority w:val="0"/>
    <w:rPr>
      <w:color w:val="0000FF"/>
      <w:u w:val="single"/>
    </w:rPr>
  </w:style>
  <w:style w:type="character" w:customStyle="1" w:styleId="8">
    <w:name w:val="页脚 Char"/>
    <w:basedOn w:val="4"/>
    <w:link w:val="2"/>
    <w:qFormat/>
    <w:uiPriority w:val="0"/>
    <w:rPr>
      <w:rFonts w:ascii="Times New Roman" w:hAnsi="Times New Roman" w:eastAsia="宋体" w:cs="Times New Roman"/>
      <w:sz w:val="18"/>
      <w:szCs w:val="18"/>
    </w:rPr>
  </w:style>
  <w:style w:type="character" w:customStyle="1" w:styleId="9">
    <w:name w:val="页眉 Char"/>
    <w:basedOn w:val="4"/>
    <w:link w:val="3"/>
    <w:semiHidden/>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220</Words>
  <Characters>1259</Characters>
  <Lines>10</Lines>
  <Paragraphs>2</Paragraphs>
  <TotalTime>19</TotalTime>
  <ScaleCrop>false</ScaleCrop>
  <LinksUpToDate>false</LinksUpToDate>
  <CharactersWithSpaces>1477</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2018-11-06T07:40:00Z</dcterms:created>
  <dc:creator>wzpx-luqin</dc:creator>
  <cp:lastModifiedBy>wzpx-luqin</cp:lastModifiedBy>
  <cp:lastPrinted>2018-11-07T00:54:00Z</cp:lastPrinted>
  <dcterms:modified xsi:type="dcterms:W3CDTF">2018-11-29T06:32:24Z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